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SCHEDA PER I PROGRAMMI DEI CORSI a.a. 20</w:t>
      </w:r>
      <w:r>
        <w:rPr>
          <w:rFonts w:cs="Times New Roman" w:ascii="Times New Roman" w:hAnsi="Times New Roman"/>
          <w:sz w:val="32"/>
          <w:szCs w:val="32"/>
        </w:rPr>
        <w:t>19</w:t>
      </w:r>
      <w:r>
        <w:rPr>
          <w:rFonts w:cs="Times New Roman" w:ascii="Times New Roman" w:hAnsi="Times New Roman"/>
          <w:sz w:val="32"/>
          <w:szCs w:val="32"/>
        </w:rPr>
        <w:t>-20</w:t>
      </w:r>
    </w:p>
    <w:p>
      <w:pPr>
        <w:pStyle w:val="Normal"/>
        <w:rPr/>
      </w:pPr>
      <w:r>
        <w:rPr/>
      </w:r>
    </w:p>
    <w:tbl>
      <w:tblPr>
        <w:tblW w:w="962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0"/>
        <w:gridCol w:w="1743"/>
        <w:gridCol w:w="2399"/>
        <w:gridCol w:w="1485"/>
      </w:tblGrid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  <w:highlight w:val="red"/>
              </w:rPr>
            </w:pPr>
            <w:r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delle dottrine politiche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studio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SSS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Crediti formativi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Denominazione inglese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History of political thought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Obbligo di frequenza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Lingua di erogazione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italiana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 Cognome</w:t>
            </w:r>
          </w:p>
        </w:tc>
        <w:tc>
          <w:tcPr>
            <w:tcW w:w="3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Mail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Patricia</w:t>
            </w:r>
          </w:p>
        </w:tc>
        <w:tc>
          <w:tcPr>
            <w:tcW w:w="3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patricia@chianterastutte.eu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Chiantera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Ambito disciplinare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SSD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Crediti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delle dottrine politiche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SPS-02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Periodo di erogazione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Gill Sans MT" w:hAnsi="Gill Sans MT"/>
              </w:rPr>
              <w:t xml:space="preserve">           </w:t>
            </w:r>
            <w:bookmarkStart w:id="0" w:name="_GoBack"/>
            <w:bookmarkEnd w:id="0"/>
            <w:r>
              <w:rPr>
                <w:rFonts w:ascii="Gill Sans MT" w:hAnsi="Gill Sans MT"/>
              </w:rPr>
              <w:t>Semestre secondo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di corso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Gill Sans MT" w:hAnsi="Gill Sans MT"/>
              </w:rPr>
              <w:t>…</w:t>
            </w:r>
            <w:r>
              <w:rPr>
                <w:rFonts w:ascii="Gill Sans MT" w:hAnsi="Gill Sans MT"/>
              </w:rPr>
              <w:t>.si</w:t>
            </w:r>
          </w:p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  <w:r>
              <w:rPr>
                <w:rFonts w:ascii="Gill Sans MT" w:hAnsi="Gill Sans MT"/>
              </w:rPr>
              <w:t>.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Ore totali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64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Ore di corso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64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C</w:t>
            </w:r>
            <w:r>
              <w:rPr>
                <w:rFonts w:ascii="Gill Sans MT" w:hAnsi="Gill Sans MT"/>
                <w:b/>
                <w:shd w:fill="B2A1C7" w:val="clear"/>
              </w:rPr>
              <w:t>alendario</w:t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5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  <w:highlight w:val="red"/>
              </w:rPr>
              <w:t xml:space="preserve">19 febbraio 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 maggio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Syllabus</w:t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</w:rPr>
              <w:t>Prerequisiti</w:t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1453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Risultati di apprendimento previsti</w:t>
            </w:r>
          </w:p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(declinare rispetto ai Descrittori di Dublino) (si raccomanda che </w:t>
            </w:r>
            <w:r>
              <w:rPr/>
              <w:t>siano coerenti con i risultati di apprendimento del CdS, riportati nei quadri A4a, A4b e A4c della SUA, compreso i risultati di apprendimento trasversali)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a. Capacità di risolvere problemi: </w:t>
            </w:r>
            <w:r>
              <w:rPr>
                <w:rFonts w:cs="Calibri"/>
                <w:sz w:val="20"/>
                <w:szCs w:val="20"/>
              </w:rPr>
              <w:t xml:space="preserve">ossia applicare in una situazione reale quanto appreso, individuando gli ambiti di conoscenze che meglio consentono di affrontarla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gli studenti apprendono a interpretare le categorie politiche e le vicende politiche con competenza attraverso la conoscenza del contesto storico, dell'origine dei movimenti politici e dell'area geografica in cui si sviluppa il pensiero politico occidentale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b. Analizzare e sintetizzare informazioni: </w:t>
            </w:r>
            <w:r>
              <w:rPr>
                <w:rFonts w:cs="Calibri"/>
                <w:sz w:val="20"/>
                <w:szCs w:val="20"/>
              </w:rPr>
              <w:t xml:space="preserve">ossia acquisire, organizzare e riformulare dati e conoscenze provenienti da diverse fonti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gli studenti apprendono a confrontare e usare metodi storici, di scienza politica e di storia del pensiero politico per acquisire una conoscenza critica dei processi di origine e consolidamente del welfare e delle questioni di guistizia sociale.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c. Formulare giudizi in autonomia: </w:t>
            </w:r>
            <w:r>
              <w:rPr>
                <w:rFonts w:cs="Calibri"/>
                <w:sz w:val="20"/>
                <w:szCs w:val="20"/>
              </w:rPr>
              <w:t>ossia interpretare le informazioni con senso critico e prendere decisioni conseguenti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il confronto critico con testi politologici e l'inquadramento dello sviluppo delmpensiero politico permette agli studenti di acquisire una capacità di leggere i cambiamenti dello stato in relazione ai bisogni della società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d. Comunicare efficacemente: </w:t>
            </w:r>
            <w:r>
              <w:rPr>
                <w:rFonts w:cs="Calibri"/>
                <w:sz w:val="20"/>
                <w:szCs w:val="20"/>
              </w:rPr>
              <w:t xml:space="preserve">ossia trasmettere informazioni e idee in forma sia orale sia scritta in modo chiaro e formalmente corretto, esprimendole in termini adeguati rispetto agli interlocutori specialisti o non specialisti del settore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 studenti vengono messi in grado di leggere le categorie politiche e interpretarle, e di usare concetti di politica fondamentali attraverso attività seminariali e presentazioni di testi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e. Apprendere in maniera continuativa: </w:t>
            </w:r>
            <w:r>
              <w:rPr>
                <w:rFonts w:cs="Calibri"/>
                <w:sz w:val="20"/>
                <w:szCs w:val="20"/>
              </w:rPr>
              <w:t xml:space="preserve">ossia sapere riconoscere le proprie lacune e identificare strategie efficaci volte all’acquisizione di nuove conoscenze e competenze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 studenti acquisiscono metodi per interpretare criticamente le politiche  e i problemi politici a livello nazionale e locale, in modo da poter utilizzare il loro know-how in tutti in contesti. Inoltre, attraverso la presentazione di testi di fronte ai colleghi, sviluppano la capacità di correggere le loro lacune e comunicare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f. Lavorare in gruppo: </w:t>
            </w:r>
            <w:r>
              <w:rPr>
                <w:rFonts w:cs="Calibri"/>
                <w:sz w:val="20"/>
                <w:szCs w:val="20"/>
              </w:rPr>
              <w:t xml:space="preserve">ossia coordinarsi con altre persone, anche di diverse culture e specializzazioni professionali, integrando le competenze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lavori in gruppo – discussioni e letture – permettono di portare gli studenti a confrontare conoscenze e punti di vista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g. Essere intraprendente: </w:t>
            </w:r>
            <w:r>
              <w:rPr>
                <w:rFonts w:cs="Calibri"/>
                <w:sz w:val="20"/>
                <w:szCs w:val="20"/>
              </w:rPr>
              <w:t xml:space="preserve">ossia saper sviluppare idee innovative, progettarne e organizzarne la realizzazione, gestire le necessarie risorse ed essere disposto a correre rischi per riuscirci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attraverso il confronto con pari, si sviluppano anche le capacità di comunicazione e discussione che saranno utili per confrontare i loro guidizi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h. Capacità di organizzare e pianificare: </w:t>
            </w:r>
            <w:r>
              <w:rPr>
                <w:rFonts w:cs="Calibri"/>
                <w:sz w:val="20"/>
                <w:szCs w:val="20"/>
              </w:rPr>
              <w:t xml:space="preserve">ossia realizzare idee e progetti tenendo conto anche del tempo e delle altre risorse a disposizione </w:t>
            </w:r>
            <w:r>
              <w:rPr>
                <w:rFonts w:cs="Calibri"/>
                <w:b/>
                <w:sz w:val="20"/>
                <w:szCs w:val="20"/>
              </w:rPr>
              <w:t>(indicare qui le modalità):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0" w:after="0"/>
              <w:ind w:left="360" w:hanging="0"/>
              <w:contextualSpacing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Gill Sans MT" w:hAnsi="Gill Sans MT"/>
                <w:b/>
                <w:i/>
                <w:sz w:val="20"/>
                <w:szCs w:val="20"/>
              </w:rPr>
              <w:t>attraverso il confronto con le soluzioni date dalla politica alle situazioni di crici sociale ed economica, i ragazzi apprendono modi di soluzione di problemi e li discutono</w:t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35" w:leader="none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Il corso andrà a ricostruire in primo luogo le teorie del pensiero politco moderno a partire da Machiavelli fino ai dibattiti sull'Unione Europea e sul neo-imperialismo.</w:t>
            </w:r>
          </w:p>
          <w:p>
            <w:pPr>
              <w:pStyle w:val="Normal"/>
              <w:tabs>
                <w:tab w:val="clear" w:pos="708"/>
                <w:tab w:val="left" w:pos="1935" w:leader="none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In particolare le teorie politiche verranno inquadrate nel loro contesto storico e nell'ambito del dibattito teorico ad esse coevo. Tuttavia gli autori verranno considerati  per il loro contributo fornito all'evoluzione delle istituzione e dei principi fondamentali che sono alla base delle istituzioni contemporanee. Per tale ragione verranno approfonditi gli argomenti classici che continuano tuttora a orientare la discussione politologica: la democrazia, la sovranità, lo Stato, la Nazione, le forme politiche federali.  </w:t>
            </w:r>
          </w:p>
          <w:p>
            <w:pPr>
              <w:pStyle w:val="Normal"/>
              <w:tabs>
                <w:tab w:val="clear" w:pos="708"/>
                <w:tab w:val="left" w:pos="1935" w:leader="none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Infatti la ricostruzione del pensiero politico non si concentrerà solo su aspetti teorici, ma considererà come, a partire dalle teorie politiche siano state legittimate o create le istituzioni politiche moderne: Stato, Parlamento, Poteri, organi intermedi.</w:t>
            </w:r>
          </w:p>
          <w:p>
            <w:pPr>
              <w:pStyle w:val="Normal"/>
              <w:tabs>
                <w:tab w:val="clear" w:pos="708"/>
                <w:tab w:val="left" w:pos="1935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Nella seconda parte verranno approfondite alcune tematiche del dibattito politico contemporaneo: in particolare l'emergere dei problemi della giustizia sociale, il confronto con I bisogni, l’emergere dei diritti politici e sociali</w:t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2A1C7" w:val="clear"/>
          </w:tcPr>
          <w:p>
            <w:pPr>
              <w:pStyle w:val="Normal"/>
              <w:spacing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</w:r>
          </w:p>
        </w:tc>
        <w:tc>
          <w:tcPr>
            <w:tcW w:w="562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/>
                <w:sz w:val="22"/>
                <w:szCs w:val="22"/>
              </w:rPr>
              <w:t>Galli C. “Manuale di storia  del pensiero politico” Il Mulino 2011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alibri"/>
                <w:sz w:val="22"/>
                <w:szCs w:val="22"/>
              </w:rPr>
              <w:t>da capitolo III a capitolo XIII compreso. Eccetto: cap. VII par. 3, cap. X par. 1, cap. XIII par. 1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alibri"/>
                <w:sz w:val="22"/>
                <w:szCs w:val="22"/>
              </w:rPr>
              <w:t xml:space="preserve">parte speciale : </w:t>
            </w:r>
            <w:r>
              <w:rPr>
                <w:rFonts w:cs="Calibri"/>
                <w:sz w:val="22"/>
                <w:szCs w:val="22"/>
              </w:rPr>
              <w:t>due</w:t>
            </w:r>
            <w:r>
              <w:rPr>
                <w:rFonts w:cs="Calibri"/>
                <w:sz w:val="22"/>
                <w:szCs w:val="22"/>
              </w:rPr>
              <w:t xml:space="preserve"> libr</w:t>
            </w:r>
            <w:r>
              <w:rPr>
                <w:rFonts w:cs="Calibri"/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da scegliere tra :</w:t>
            </w:r>
          </w:p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rPr/>
            </w:pP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A. De Bernardi “Fascismo e antifascismo” 2018; De felice “intervista sul fascismo”; Bobbio “dal fascismo alla democrazia”, Chiantera-Stutte “IL pensiero geopolitico” (solo capp. 5 e 6); Graziano M. “Frontiere” 2017. </w:t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Metodi didattici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Nel corso delle lezioni frontali si usano metodi partecipativi, la discussione di case studies, insieme con tecniche multimediali – uso di computer e internet. Il metodo è quello della lezione frontale partecipata. </w:t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Metodi di valutazione (indicare almeno la tipologia scritto, orale, altro)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orale</w:t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</w:t>
            </w:r>
            <w:r>
              <w:rPr>
                <w:rFonts w:eastAsia="Times New Roman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 si aspetta che lo studente sappia leggere criticamente gli avvenimenti e iol pensiero politico, in particolare testi politologici e giornalistici. &gt;Ci si aspetta che riesca ad elaborare un discorso di analisi dei temi politici e sociali, con un’analisi storica e politica che consenta di comprendere la collocazione e la crisi dell’attuale modello di stato sociale.</w:t>
            </w:r>
          </w:p>
        </w:tc>
      </w:tr>
      <w:tr>
        <w:trPr>
          <w:trHeight w:val="70" w:hRule="atLeast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Composizione Commissione esami di profitto</w:t>
            </w:r>
          </w:p>
        </w:tc>
        <w:tc>
          <w:tcPr>
            <w:tcW w:w="56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P. Chiantera, L. Mitorotondo, S.Suppa, N. Colonna, D. De Candia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Gill Sans MT" w:hAnsi="Gill Sans MT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Gill Sans MT" w:hAnsi="Gill Sans MT"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alibri" w:hAnsi="Calibri" w:cs="Symbol"/>
      <w:b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Calibri" w:hAnsi="Calibri" w:cs="Symbol"/>
      <w:b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Calibri" w:hAnsi="Calibri" w:cs="Symbol"/>
      <w:b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Calibri" w:hAnsi="Calibri" w:cs="Symbol"/>
      <w:b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Calibri" w:hAnsi="Calibri" w:cs="Symbol"/>
      <w:b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Calibri" w:hAnsi="Calibri" w:cs="Symbol"/>
      <w:b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LibreOffice/6.2.3.2$Windows_X86_64 LibreOffice_project/aecc05fe267cc68dde00352a451aa867b3b546ac</Application>
  <Pages>4</Pages>
  <Words>1027</Words>
  <Characters>6028</Characters>
  <CharactersWithSpaces>6971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2017-02-13T11:28:00Z</dcterms:created>
  <dc:creator>Utente</dc:creator>
  <dc:description/>
  <dc:language>en-GB</dc:language>
  <cp:lastModifiedBy/>
  <dcterms:modified xsi:type="dcterms:W3CDTF">2020-01-16T11:04:23Z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